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5C3F2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863C1D" w:rsidRDefault="005C3F21" w:rsidP="005C3F21">
                <w:pPr>
                  <w:suppressLineNumbers/>
                  <w:rPr>
                    <w:rFonts w:ascii="Arial" w:hAnsi="Arial"/>
                    <w:b/>
                    <w:bCs/>
                    <w:noProof w:val="0"/>
                    <w:sz w:val="26"/>
                    <w:szCs w:val="26"/>
                    <w:rtl/>
                  </w:rPr>
                </w:pPr>
                <w:r>
                  <w:rPr>
                    <w:rFonts w:ascii="Arial" w:hAnsi="Arial" w:hint="cs"/>
                    <w:b/>
                    <w:bCs/>
                    <w:noProof w:val="0"/>
                    <w:sz w:val="26"/>
                    <w:szCs w:val="26"/>
                    <w:rtl/>
                  </w:rPr>
                  <w:t>ה</w:t>
                </w:r>
                <w:r w:rsidR="00A30CEB">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3763AB" w:rsidRDefault="00FC3940" w:rsidP="00AE4B05">
            <w:pPr>
              <w:suppressLineNumbers/>
              <w:rPr>
                <w:sz w:val="26"/>
                <w:szCs w:val="26"/>
                <w:rtl/>
              </w:rPr>
            </w:pPr>
            <w:sdt>
              <w:sdtPr>
                <w:rPr>
                  <w:sz w:val="26"/>
                  <w:szCs w:val="26"/>
                  <w:rtl/>
                </w:rPr>
                <w:alias w:val="1478"/>
                <w:tag w:val="1478"/>
                <w:id w:val="-2076122985"/>
                <w:text w:multiLine="1"/>
              </w:sdtPr>
              <w:sdtEndPr/>
              <w:sdtContent>
                <w:r w:rsidR="00AE4B05">
                  <w:rPr>
                    <w:rFonts w:ascii="Arial" w:hAnsi="Arial" w:hint="cs"/>
                    <w:b/>
                    <w:bCs/>
                    <w:noProof w:val="0"/>
                    <w:sz w:val="26"/>
                    <w:szCs w:val="26"/>
                    <w:rtl/>
                  </w:rPr>
                  <w:t>פלונית</w:t>
                </w:r>
              </w:sdtContent>
            </w:sdt>
          </w:p>
          <w:p w:rsidR="0094424E" w:rsidRPr="00FA4EAF" w:rsidRDefault="001D3441" w:rsidP="001C5B01">
            <w:pPr>
              <w:suppressLineNumbers/>
              <w:rPr>
                <w:b/>
                <w:bCs/>
                <w:noProof w:val="0"/>
                <w:sz w:val="26"/>
                <w:szCs w:val="26"/>
              </w:rPr>
            </w:pPr>
            <w:r>
              <w:rPr>
                <w:rFonts w:hint="cs"/>
                <w:sz w:val="26"/>
                <w:szCs w:val="26"/>
                <w:rtl/>
              </w:rPr>
              <w:t>ע"י ב"כ עו"ד</w:t>
            </w:r>
            <w:r w:rsidR="005C3F21">
              <w:rPr>
                <w:rFonts w:hint="cs"/>
                <w:b/>
                <w:bCs/>
                <w:noProof w:val="0"/>
                <w:sz w:val="26"/>
                <w:szCs w:val="26"/>
                <w:rtl/>
              </w:rPr>
              <w:t xml:space="preserve"> טלי קופלמן פרדו</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FC3940" w:rsidP="005C3F21">
            <w:pPr>
              <w:suppressLineNumbers/>
              <w:rPr>
                <w:rFonts w:ascii="Arial" w:hAnsi="Arial"/>
                <w:b/>
                <w:bCs/>
                <w:noProof w:val="0"/>
                <w:sz w:val="26"/>
                <w:szCs w:val="26"/>
              </w:rPr>
            </w:pPr>
            <w:sdt>
              <w:sdtPr>
                <w:rPr>
                  <w:sz w:val="26"/>
                  <w:szCs w:val="26"/>
                  <w:rtl/>
                </w:rPr>
                <w:alias w:val="1184"/>
                <w:tag w:val="1184"/>
                <w:id w:val="-340621022"/>
                <w:text w:multiLine="1"/>
              </w:sdtPr>
              <w:sdtEndPr/>
              <w:sdtContent>
                <w:r w:rsidR="005C3F21">
                  <w:rPr>
                    <w:rFonts w:ascii="Arial" w:hAnsi="Arial" w:hint="cs"/>
                    <w:b/>
                    <w:bCs/>
                    <w:noProof w:val="0"/>
                    <w:sz w:val="26"/>
                    <w:szCs w:val="26"/>
                    <w:rtl/>
                  </w:rPr>
                  <w:t>ה</w:t>
                </w:r>
                <w:r w:rsidR="008D3BCC">
                  <w:rPr>
                    <w:rFonts w:ascii="Arial" w:hAnsi="Arial"/>
                    <w:b/>
                    <w:bCs/>
                    <w:noProof w:val="0"/>
                    <w:sz w:val="26"/>
                    <w:szCs w:val="26"/>
                    <w:rtl/>
                  </w:rPr>
                  <w:t>משיב</w:t>
                </w:r>
              </w:sdtContent>
            </w:sdt>
          </w:p>
        </w:tc>
        <w:tc>
          <w:tcPr>
            <w:tcW w:w="5571" w:type="dxa"/>
          </w:tcPr>
          <w:p w:rsidR="003763AB" w:rsidRDefault="00FC3940" w:rsidP="00AE4B05">
            <w:pPr>
              <w:suppressLineNumbers/>
              <w:rPr>
                <w:sz w:val="26"/>
                <w:szCs w:val="26"/>
                <w:rtl/>
              </w:rPr>
            </w:pPr>
            <w:sdt>
              <w:sdtPr>
                <w:rPr>
                  <w:sz w:val="26"/>
                  <w:szCs w:val="26"/>
                  <w:rtl/>
                </w:rPr>
                <w:alias w:val="1486"/>
                <w:tag w:val="1486"/>
                <w:id w:val="-309872140"/>
                <w:text w:multiLine="1"/>
              </w:sdtPr>
              <w:sdtEndPr/>
              <w:sdtContent>
                <w:r w:rsidR="00AE4B05">
                  <w:rPr>
                    <w:rFonts w:ascii="Arial" w:hAnsi="Arial" w:hint="cs"/>
                    <w:b/>
                    <w:bCs/>
                    <w:noProof w:val="0"/>
                    <w:sz w:val="26"/>
                    <w:szCs w:val="26"/>
                    <w:rtl/>
                  </w:rPr>
                  <w:t>אלמוני</w:t>
                </w:r>
              </w:sdtContent>
            </w:sdt>
          </w:p>
          <w:p w:rsidR="0094424E" w:rsidRPr="00FA4EAF" w:rsidRDefault="001D3441" w:rsidP="001C5B01">
            <w:pPr>
              <w:suppressLineNumbers/>
              <w:rPr>
                <w:b/>
                <w:bCs/>
                <w:noProof w:val="0"/>
                <w:sz w:val="26"/>
                <w:szCs w:val="26"/>
                <w:rtl/>
              </w:rPr>
            </w:pPr>
            <w:r>
              <w:rPr>
                <w:rFonts w:hint="cs"/>
                <w:sz w:val="26"/>
                <w:szCs w:val="26"/>
                <w:rtl/>
              </w:rPr>
              <w:t>ע"י ב"כ עו</w:t>
            </w:r>
            <w:r w:rsidR="005C3F21">
              <w:rPr>
                <w:rFonts w:hint="cs"/>
                <w:sz w:val="26"/>
                <w:szCs w:val="26"/>
                <w:rtl/>
              </w:rPr>
              <w:t>ה</w:t>
            </w:r>
            <w:r>
              <w:rPr>
                <w:rFonts w:hint="cs"/>
                <w:sz w:val="26"/>
                <w:szCs w:val="26"/>
                <w:rtl/>
              </w:rPr>
              <w:t>"ד</w:t>
            </w:r>
            <w:r w:rsidR="005C3F21">
              <w:rPr>
                <w:rFonts w:hint="cs"/>
                <w:sz w:val="26"/>
                <w:szCs w:val="26"/>
                <w:rtl/>
              </w:rPr>
              <w:t xml:space="preserve"> </w:t>
            </w:r>
            <w:r w:rsidR="005C3F21" w:rsidRPr="005C3F21">
              <w:rPr>
                <w:rFonts w:hint="cs"/>
                <w:b/>
                <w:bCs/>
                <w:sz w:val="26"/>
                <w:szCs w:val="26"/>
                <w:rtl/>
              </w:rPr>
              <w:t>ספי ריבה ולורי גייזלר</w:t>
            </w:r>
          </w:p>
        </w:tc>
      </w:tr>
      <w:tr w:rsidR="004C17EE" w:rsidRPr="00FA4EAF" w:rsidTr="00D620FD">
        <w:trPr>
          <w:jc w:val="center"/>
        </w:trPr>
        <w:tc>
          <w:tcPr>
            <w:tcW w:w="8820" w:type="dxa"/>
            <w:gridSpan w:val="3"/>
          </w:tcPr>
          <w:p w:rsidR="00863C1D" w:rsidRDefault="00863C1D">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Default="005C3F21">
      <w:pPr>
        <w:spacing w:line="360" w:lineRule="auto"/>
        <w:jc w:val="both"/>
        <w:rPr>
          <w:rFonts w:ascii="Arial" w:hAnsi="Arial"/>
          <w:noProof w:val="0"/>
          <w:rtl/>
        </w:rPr>
      </w:pPr>
      <w:bookmarkStart w:id="1" w:name="NGCSBookmark"/>
      <w:bookmarkEnd w:id="1"/>
      <w:r>
        <w:rPr>
          <w:rFonts w:ascii="Arial" w:hAnsi="Arial" w:hint="cs"/>
          <w:noProof w:val="0"/>
          <w:rtl/>
        </w:rPr>
        <w:t>לאחר עיון בטענות הצדדים, אני סבור שיש לתת רשות ערעור ולקבל את הערעור מנימוקים אלו:</w:t>
      </w:r>
    </w:p>
    <w:p w:rsidR="005C3F21" w:rsidRDefault="005C3F21">
      <w:pPr>
        <w:spacing w:line="360" w:lineRule="auto"/>
        <w:jc w:val="both"/>
        <w:rPr>
          <w:rFonts w:ascii="Arial" w:hAnsi="Arial"/>
          <w:noProof w:val="0"/>
          <w:rtl/>
        </w:rPr>
      </w:pPr>
    </w:p>
    <w:p w:rsidR="005C3F21" w:rsidRDefault="005C3F21" w:rsidP="00FA04B8">
      <w:pPr>
        <w:pStyle w:val="ad"/>
        <w:numPr>
          <w:ilvl w:val="0"/>
          <w:numId w:val="1"/>
        </w:numPr>
        <w:spacing w:line="360" w:lineRule="auto"/>
        <w:jc w:val="both"/>
        <w:rPr>
          <w:rFonts w:ascii="Arial" w:hAnsi="Arial"/>
          <w:noProof w:val="0"/>
        </w:rPr>
      </w:pPr>
      <w:r>
        <w:rPr>
          <w:rFonts w:ascii="Arial" w:hAnsi="Arial" w:hint="cs"/>
          <w:noProof w:val="0"/>
          <w:rtl/>
        </w:rPr>
        <w:t>המבקשת הגישה בקשה למתן פסיקתא</w:t>
      </w:r>
      <w:r w:rsidR="00FA04B8">
        <w:rPr>
          <w:rFonts w:ascii="Arial" w:hAnsi="Arial" w:hint="cs"/>
          <w:noProof w:val="0"/>
          <w:rtl/>
        </w:rPr>
        <w:t>.</w:t>
      </w:r>
      <w:r>
        <w:rPr>
          <w:rFonts w:ascii="Arial" w:hAnsi="Arial" w:hint="cs"/>
          <w:noProof w:val="0"/>
          <w:rtl/>
        </w:rPr>
        <w:t xml:space="preserve"> הא ותו לא. ההור</w:t>
      </w:r>
      <w:r w:rsidR="00FA04B8">
        <w:rPr>
          <w:rFonts w:ascii="Arial" w:hAnsi="Arial" w:hint="cs"/>
          <w:noProof w:val="0"/>
          <w:rtl/>
        </w:rPr>
        <w:t>א</w:t>
      </w:r>
      <w:r>
        <w:rPr>
          <w:rFonts w:ascii="Arial" w:hAnsi="Arial" w:hint="cs"/>
          <w:noProof w:val="0"/>
          <w:rtl/>
        </w:rPr>
        <w:t>ה בהחלטה מושא בקשה דנן לפיה "</w:t>
      </w:r>
      <w:r w:rsidRPr="00FA04B8">
        <w:rPr>
          <w:rFonts w:ascii="Arial" w:hAnsi="Arial" w:hint="cs"/>
          <w:b/>
          <w:bCs/>
          <w:noProof w:val="0"/>
          <w:rtl/>
        </w:rPr>
        <w:t>במועד פתיחת הכספת יהיו נוכחים נציגים ממשרדם של באי כוח הצדדים</w:t>
      </w:r>
      <w:r>
        <w:rPr>
          <w:rFonts w:ascii="Arial" w:hAnsi="Arial" w:hint="cs"/>
          <w:noProof w:val="0"/>
          <w:rtl/>
        </w:rPr>
        <w:t>"</w:t>
      </w:r>
      <w:r w:rsidR="00B232A8">
        <w:rPr>
          <w:rFonts w:ascii="Arial" w:hAnsi="Arial" w:hint="cs"/>
          <w:noProof w:val="0"/>
          <w:rtl/>
        </w:rPr>
        <w:t>,</w:t>
      </w:r>
      <w:r>
        <w:rPr>
          <w:rFonts w:ascii="Arial" w:hAnsi="Arial" w:hint="cs"/>
          <w:noProof w:val="0"/>
          <w:rtl/>
        </w:rPr>
        <w:t xml:space="preserve"> לא ה</w:t>
      </w:r>
      <w:r w:rsidR="00FA04B8">
        <w:rPr>
          <w:rFonts w:ascii="Arial" w:hAnsi="Arial" w:hint="cs"/>
          <w:noProof w:val="0"/>
          <w:rtl/>
        </w:rPr>
        <w:t>י</w:t>
      </w:r>
      <w:r>
        <w:rPr>
          <w:rFonts w:ascii="Arial" w:hAnsi="Arial" w:hint="cs"/>
          <w:noProof w:val="0"/>
          <w:rtl/>
        </w:rPr>
        <w:t xml:space="preserve">יתה חלק מההסכם שקיבל תוקף של פסק דין </w:t>
      </w:r>
      <w:r w:rsidR="00FA04B8">
        <w:rPr>
          <w:rFonts w:ascii="Arial" w:hAnsi="Arial" w:hint="cs"/>
          <w:noProof w:val="0"/>
          <w:rtl/>
        </w:rPr>
        <w:t xml:space="preserve">(להלן: </w:t>
      </w:r>
      <w:r w:rsidR="00FA04B8" w:rsidRPr="00F0463B">
        <w:rPr>
          <w:rFonts w:ascii="Arial" w:hAnsi="Arial" w:hint="cs"/>
          <w:b/>
          <w:bCs/>
          <w:noProof w:val="0"/>
          <w:rtl/>
        </w:rPr>
        <w:t>ההסכם</w:t>
      </w:r>
      <w:r w:rsidR="00FA04B8">
        <w:rPr>
          <w:rFonts w:ascii="Arial" w:hAnsi="Arial" w:hint="cs"/>
          <w:noProof w:val="0"/>
          <w:rtl/>
        </w:rPr>
        <w:t xml:space="preserve">) </w:t>
      </w:r>
      <w:r>
        <w:rPr>
          <w:rFonts w:ascii="Arial" w:hAnsi="Arial" w:hint="cs"/>
          <w:noProof w:val="0"/>
          <w:rtl/>
        </w:rPr>
        <w:t>והוראה זו אף לא מהווה פרשנות של פסק הדין</w:t>
      </w:r>
      <w:r w:rsidR="00FA04B8">
        <w:rPr>
          <w:rFonts w:ascii="Arial" w:hAnsi="Arial" w:hint="cs"/>
          <w:noProof w:val="0"/>
          <w:rtl/>
        </w:rPr>
        <w:t xml:space="preserve"> או הבהרה שלו</w:t>
      </w:r>
      <w:r>
        <w:rPr>
          <w:rFonts w:ascii="Arial" w:hAnsi="Arial" w:hint="cs"/>
          <w:noProof w:val="0"/>
          <w:rtl/>
        </w:rPr>
        <w:t>.</w:t>
      </w:r>
      <w:r w:rsidR="00FA04B8">
        <w:rPr>
          <w:rFonts w:ascii="Arial" w:hAnsi="Arial" w:hint="cs"/>
          <w:noProof w:val="0"/>
          <w:rtl/>
        </w:rPr>
        <w:t xml:space="preserve"> מדובר בתנאי שלא בא זכרו בהסכם.</w:t>
      </w:r>
    </w:p>
    <w:p w:rsidR="00800E14" w:rsidRPr="00800E14" w:rsidRDefault="00800E14" w:rsidP="00800E14">
      <w:pPr>
        <w:spacing w:line="360" w:lineRule="auto"/>
        <w:jc w:val="both"/>
        <w:rPr>
          <w:rFonts w:ascii="Arial" w:hAnsi="Arial"/>
          <w:noProof w:val="0"/>
        </w:rPr>
      </w:pPr>
    </w:p>
    <w:p w:rsidR="005C3F21" w:rsidRDefault="005C3F21" w:rsidP="00F0463B">
      <w:pPr>
        <w:pStyle w:val="ad"/>
        <w:numPr>
          <w:ilvl w:val="0"/>
          <w:numId w:val="1"/>
        </w:numPr>
        <w:spacing w:line="360" w:lineRule="auto"/>
        <w:jc w:val="both"/>
        <w:rPr>
          <w:rFonts w:ascii="Arial" w:hAnsi="Arial"/>
          <w:noProof w:val="0"/>
        </w:rPr>
      </w:pPr>
      <w:r>
        <w:rPr>
          <w:rFonts w:ascii="Arial" w:hAnsi="Arial" w:hint="cs"/>
          <w:noProof w:val="0"/>
          <w:rtl/>
        </w:rPr>
        <w:t>בפסק הדין נקבע כי: "</w:t>
      </w:r>
      <w:r w:rsidRPr="00FA04B8">
        <w:rPr>
          <w:rFonts w:ascii="Arial" w:hAnsi="Arial" w:hint="cs"/>
          <w:b/>
          <w:bCs/>
          <w:noProof w:val="0"/>
          <w:rtl/>
        </w:rPr>
        <w:t>כל העיקולים וכל הצווים שהוגשו במסגרת התיקים שלפניי יבוטלו והצדדים יגישו פסיקתה מת</w:t>
      </w:r>
      <w:r w:rsidR="002C3BE8" w:rsidRPr="00FA04B8">
        <w:rPr>
          <w:rFonts w:ascii="Arial" w:hAnsi="Arial" w:hint="cs"/>
          <w:b/>
          <w:bCs/>
          <w:noProof w:val="0"/>
          <w:rtl/>
        </w:rPr>
        <w:t>אימה לחתימתי תוך 20 יום</w:t>
      </w:r>
      <w:r w:rsidR="002C3BE8">
        <w:rPr>
          <w:rFonts w:ascii="Arial" w:hAnsi="Arial" w:hint="cs"/>
          <w:noProof w:val="0"/>
          <w:rtl/>
        </w:rPr>
        <w:t>". לפיכך, היה על ביהמ"ש קמא לחתום על הפסיקתה שמשקפת בדיוק את ההוראה הנ"ל</w:t>
      </w:r>
      <w:r w:rsidR="00FA04B8">
        <w:rPr>
          <w:rFonts w:ascii="Arial" w:hAnsi="Arial" w:hint="cs"/>
          <w:noProof w:val="0"/>
          <w:rtl/>
        </w:rPr>
        <w:t xml:space="preserve"> ולכל היותר לעכב את חתימ</w:t>
      </w:r>
      <w:r w:rsidR="00F0463B">
        <w:rPr>
          <w:rFonts w:ascii="Arial" w:hAnsi="Arial" w:hint="cs"/>
          <w:noProof w:val="0"/>
          <w:rtl/>
        </w:rPr>
        <w:t>תו על מנת לאפשר למשיב לפנות בהליך המתאים לקבלת הסעד שביקש</w:t>
      </w:r>
      <w:r w:rsidR="002C3BE8">
        <w:rPr>
          <w:rFonts w:ascii="Arial" w:hAnsi="Arial" w:hint="cs"/>
          <w:noProof w:val="0"/>
          <w:rtl/>
        </w:rPr>
        <w:t>.</w:t>
      </w:r>
    </w:p>
    <w:p w:rsidR="00800E14" w:rsidRPr="00800E14" w:rsidRDefault="00800E14" w:rsidP="00800E14">
      <w:pPr>
        <w:pStyle w:val="ad"/>
        <w:rPr>
          <w:rFonts w:ascii="Arial" w:hAnsi="Arial"/>
          <w:noProof w:val="0"/>
          <w:rtl/>
        </w:rPr>
      </w:pPr>
    </w:p>
    <w:p w:rsidR="002C3BE8" w:rsidRDefault="002C3BE8" w:rsidP="00AE4B05">
      <w:pPr>
        <w:pStyle w:val="ad"/>
        <w:numPr>
          <w:ilvl w:val="0"/>
          <w:numId w:val="1"/>
        </w:numPr>
        <w:spacing w:line="360" w:lineRule="auto"/>
        <w:jc w:val="both"/>
        <w:rPr>
          <w:rFonts w:ascii="Arial" w:hAnsi="Arial"/>
          <w:noProof w:val="0"/>
        </w:rPr>
      </w:pPr>
      <w:r>
        <w:rPr>
          <w:rFonts w:ascii="Arial" w:hAnsi="Arial" w:hint="cs"/>
          <w:noProof w:val="0"/>
          <w:rtl/>
        </w:rPr>
        <w:t>אכן, בסעיף 8.7 להסכם נ</w:t>
      </w:r>
      <w:r w:rsidR="00800E14">
        <w:rPr>
          <w:rFonts w:ascii="Arial" w:hAnsi="Arial" w:hint="cs"/>
          <w:noProof w:val="0"/>
          <w:rtl/>
        </w:rPr>
        <w:t>קבע</w:t>
      </w:r>
      <w:r>
        <w:rPr>
          <w:rFonts w:ascii="Arial" w:hAnsi="Arial" w:hint="cs"/>
          <w:noProof w:val="0"/>
          <w:rtl/>
        </w:rPr>
        <w:t xml:space="preserve"> כי: "</w:t>
      </w:r>
      <w:r w:rsidRPr="00F0463B">
        <w:rPr>
          <w:rFonts w:ascii="Arial" w:hAnsi="Arial" w:hint="cs"/>
          <w:b/>
          <w:bCs/>
          <w:noProof w:val="0"/>
          <w:rtl/>
        </w:rPr>
        <w:t>אם וככל ו</w:t>
      </w:r>
      <w:r w:rsidR="00AE4B05">
        <w:rPr>
          <w:rFonts w:ascii="Arial" w:hAnsi="Arial" w:hint="cs"/>
          <w:b/>
          <w:bCs/>
          <w:noProof w:val="0"/>
          <w:rtl/>
        </w:rPr>
        <w:t>יאותרו תכשיטי אמו המנוחה של אלמוני</w:t>
      </w:r>
      <w:r w:rsidRPr="00F0463B">
        <w:rPr>
          <w:rFonts w:ascii="Arial" w:hAnsi="Arial" w:hint="cs"/>
          <w:b/>
          <w:bCs/>
          <w:noProof w:val="0"/>
          <w:rtl/>
        </w:rPr>
        <w:t xml:space="preserve">, </w:t>
      </w:r>
      <w:r w:rsidR="00AE4B05">
        <w:rPr>
          <w:rFonts w:ascii="Arial" w:hAnsi="Arial" w:hint="cs"/>
          <w:b/>
          <w:bCs/>
          <w:noProof w:val="0"/>
          <w:rtl/>
        </w:rPr>
        <w:t>פלונית</w:t>
      </w:r>
      <w:r w:rsidRPr="00F0463B">
        <w:rPr>
          <w:rFonts w:ascii="Arial" w:hAnsi="Arial" w:hint="cs"/>
          <w:b/>
          <w:bCs/>
          <w:noProof w:val="0"/>
          <w:rtl/>
        </w:rPr>
        <w:t xml:space="preserve"> תעביר תכשיטים אלה לידי </w:t>
      </w:r>
      <w:r w:rsidR="00AE4B05">
        <w:rPr>
          <w:rFonts w:ascii="Arial" w:hAnsi="Arial" w:hint="cs"/>
          <w:b/>
          <w:bCs/>
          <w:noProof w:val="0"/>
          <w:rtl/>
        </w:rPr>
        <w:t>אלמוני</w:t>
      </w:r>
      <w:r w:rsidRPr="00F0463B">
        <w:rPr>
          <w:rFonts w:ascii="Arial" w:hAnsi="Arial" w:hint="cs"/>
          <w:b/>
          <w:bCs/>
          <w:noProof w:val="0"/>
          <w:rtl/>
        </w:rPr>
        <w:t>, מיד עם איתורם</w:t>
      </w:r>
      <w:r>
        <w:rPr>
          <w:rFonts w:ascii="Arial" w:hAnsi="Arial" w:hint="cs"/>
          <w:noProof w:val="0"/>
          <w:rtl/>
        </w:rPr>
        <w:t xml:space="preserve">". ככל שהמשיב סבור </w:t>
      </w:r>
      <w:r w:rsidR="00F0463B">
        <w:rPr>
          <w:rFonts w:ascii="Arial" w:hAnsi="Arial" w:hint="cs"/>
          <w:noProof w:val="0"/>
          <w:rtl/>
        </w:rPr>
        <w:t>שב</w:t>
      </w:r>
      <w:r>
        <w:rPr>
          <w:rFonts w:ascii="Arial" w:hAnsi="Arial" w:hint="cs"/>
          <w:noProof w:val="0"/>
          <w:rtl/>
        </w:rPr>
        <w:t>כספת שבבנק עלולים להימצא תכשיטי אמו שעל פי ההסכם מגיעים לו, עליו לפנות בהליך המתאים ולבקש סעד לצורך אכיפת סעיף זה ואיתור התכשיטים. לא ניתן היה להורות על נוכחות נציג במועד פתיחת הכספת במסגרת תיק סגור ובקשה למתן פסיקתה.</w:t>
      </w:r>
    </w:p>
    <w:p w:rsidR="00800E14" w:rsidRPr="00800E14" w:rsidRDefault="00800E14" w:rsidP="00800E14">
      <w:pPr>
        <w:pStyle w:val="ad"/>
        <w:rPr>
          <w:rFonts w:ascii="Arial" w:hAnsi="Arial"/>
          <w:noProof w:val="0"/>
          <w:rtl/>
        </w:rPr>
      </w:pPr>
    </w:p>
    <w:p w:rsidR="00EB3A10" w:rsidRDefault="002C3BE8" w:rsidP="00800E14">
      <w:pPr>
        <w:pStyle w:val="ad"/>
        <w:numPr>
          <w:ilvl w:val="0"/>
          <w:numId w:val="1"/>
        </w:numPr>
        <w:spacing w:line="360" w:lineRule="auto"/>
        <w:jc w:val="both"/>
        <w:rPr>
          <w:rFonts w:ascii="Arial" w:hAnsi="Arial"/>
          <w:noProof w:val="0"/>
        </w:rPr>
      </w:pPr>
      <w:r>
        <w:rPr>
          <w:rFonts w:ascii="Arial" w:hAnsi="Arial" w:hint="cs"/>
          <w:noProof w:val="0"/>
          <w:rtl/>
        </w:rPr>
        <w:t xml:space="preserve">יצוין כי מפרוטוקול הדיון </w:t>
      </w:r>
      <w:r w:rsidR="00986D2C">
        <w:rPr>
          <w:rFonts w:ascii="Arial" w:hAnsi="Arial" w:hint="cs"/>
          <w:noProof w:val="0"/>
          <w:rtl/>
        </w:rPr>
        <w:t>בבית המשפט קמא מיום 29.6.20 (נספח 1 לתשובת המשיב) עולה שהמשיב חש</w:t>
      </w:r>
      <w:r w:rsidR="00800E14">
        <w:rPr>
          <w:rFonts w:ascii="Arial" w:hAnsi="Arial" w:hint="cs"/>
          <w:noProof w:val="0"/>
          <w:rtl/>
        </w:rPr>
        <w:t>ד</w:t>
      </w:r>
      <w:r w:rsidR="00986D2C">
        <w:rPr>
          <w:rFonts w:ascii="Arial" w:hAnsi="Arial" w:hint="cs"/>
          <w:noProof w:val="0"/>
          <w:rtl/>
        </w:rPr>
        <w:t xml:space="preserve"> שבכספות מוסתרים התכשיטים והוא טען כי: "</w:t>
      </w:r>
      <w:r w:rsidR="00986D2C" w:rsidRPr="00F0463B">
        <w:rPr>
          <w:rFonts w:ascii="Arial" w:hAnsi="Arial" w:hint="cs"/>
          <w:b/>
          <w:bCs/>
          <w:noProof w:val="0"/>
          <w:rtl/>
        </w:rPr>
        <w:t>בכספת יש רכוש במיליונים...מדובר על כספת בבנק</w:t>
      </w:r>
      <w:r w:rsidR="00986D2C">
        <w:rPr>
          <w:rFonts w:ascii="Arial" w:hAnsi="Arial" w:hint="cs"/>
          <w:noProof w:val="0"/>
          <w:rtl/>
        </w:rPr>
        <w:t>" (עמ' 1 שורות 30-31). המשיב יכול היה לדרוש ב</w:t>
      </w:r>
      <w:r w:rsidR="00F0463B">
        <w:rPr>
          <w:rFonts w:ascii="Arial" w:hAnsi="Arial" w:hint="cs"/>
          <w:noProof w:val="0"/>
          <w:rtl/>
        </w:rPr>
        <w:t>מסגרת ה</w:t>
      </w:r>
      <w:r w:rsidR="00986D2C">
        <w:rPr>
          <w:rFonts w:ascii="Arial" w:hAnsi="Arial" w:hint="cs"/>
          <w:noProof w:val="0"/>
          <w:rtl/>
        </w:rPr>
        <w:t xml:space="preserve">הסכם </w:t>
      </w:r>
      <w:r w:rsidR="00F0463B">
        <w:rPr>
          <w:rFonts w:ascii="Arial" w:hAnsi="Arial" w:hint="cs"/>
          <w:noProof w:val="0"/>
          <w:rtl/>
        </w:rPr>
        <w:t xml:space="preserve">שייקבעו </w:t>
      </w:r>
      <w:r w:rsidR="00986D2C">
        <w:rPr>
          <w:rFonts w:ascii="Arial" w:hAnsi="Arial" w:hint="cs"/>
          <w:noProof w:val="0"/>
          <w:rtl/>
        </w:rPr>
        <w:t xml:space="preserve">תנאים לפתיחת הכספת בבנק כגון שהיא תפתח במעמד צד ג' כפי שהוסכם באותו </w:t>
      </w:r>
      <w:r w:rsidR="00F0463B">
        <w:rPr>
          <w:rFonts w:ascii="Arial" w:hAnsi="Arial" w:hint="cs"/>
          <w:noProof w:val="0"/>
          <w:rtl/>
        </w:rPr>
        <w:t>ה</w:t>
      </w:r>
      <w:r w:rsidR="00986D2C">
        <w:rPr>
          <w:rFonts w:ascii="Arial" w:hAnsi="Arial" w:hint="cs"/>
          <w:noProof w:val="0"/>
          <w:rtl/>
        </w:rPr>
        <w:t xml:space="preserve">דיון ביחס לכספת בבית. ברם, דרישה כזו לא עוגנה בהסכם ולפיכך, משהוסכם </w:t>
      </w:r>
      <w:r w:rsidR="00800E14">
        <w:rPr>
          <w:rFonts w:ascii="Arial" w:hAnsi="Arial" w:hint="cs"/>
          <w:noProof w:val="0"/>
          <w:rtl/>
        </w:rPr>
        <w:t>ש</w:t>
      </w:r>
      <w:r w:rsidR="00986D2C">
        <w:rPr>
          <w:rFonts w:ascii="Arial" w:hAnsi="Arial" w:hint="cs"/>
          <w:noProof w:val="0"/>
          <w:rtl/>
        </w:rPr>
        <w:t>כל הצווים יבוטלו, לא יכול היה ביהמ"ש להוסיף תנאי נוסף להסכם</w:t>
      </w:r>
      <w:r w:rsidR="00F0463B">
        <w:rPr>
          <w:rFonts w:ascii="Arial" w:hAnsi="Arial" w:hint="cs"/>
          <w:noProof w:val="0"/>
          <w:rtl/>
        </w:rPr>
        <w:t xml:space="preserve"> במסגרת </w:t>
      </w:r>
      <w:r w:rsidR="00F0463B">
        <w:rPr>
          <w:rFonts w:ascii="Arial" w:hAnsi="Arial" w:hint="cs"/>
          <w:noProof w:val="0"/>
          <w:rtl/>
        </w:rPr>
        <w:lastRenderedPageBreak/>
        <w:t>הפסיקתה</w:t>
      </w:r>
      <w:r w:rsidR="00986D2C">
        <w:rPr>
          <w:rFonts w:ascii="Arial" w:hAnsi="Arial" w:hint="cs"/>
          <w:noProof w:val="0"/>
          <w:rtl/>
        </w:rPr>
        <w:t xml:space="preserve">. </w:t>
      </w:r>
      <w:r w:rsidR="00EB3A10">
        <w:rPr>
          <w:rFonts w:ascii="Arial" w:hAnsi="Arial" w:hint="cs"/>
          <w:noProof w:val="0"/>
          <w:rtl/>
        </w:rPr>
        <w:t>כל דרישה נוספת מצד המשיב כגון שפתיחת הכספת תבוצע בנוכחות נאמן ותיערך תרשומת, צריכה להתברר בהליך עצמאי ונפרד.</w:t>
      </w:r>
    </w:p>
    <w:p w:rsidR="00800E14" w:rsidRPr="00800E14" w:rsidRDefault="00800E14" w:rsidP="00800E14">
      <w:pPr>
        <w:pStyle w:val="ad"/>
        <w:rPr>
          <w:rFonts w:ascii="Arial" w:hAnsi="Arial"/>
          <w:noProof w:val="0"/>
          <w:rtl/>
        </w:rPr>
      </w:pPr>
    </w:p>
    <w:p w:rsidR="00EB3A10" w:rsidRDefault="00EB3A10" w:rsidP="00986D2C">
      <w:pPr>
        <w:pStyle w:val="ad"/>
        <w:numPr>
          <w:ilvl w:val="0"/>
          <w:numId w:val="1"/>
        </w:numPr>
        <w:spacing w:line="360" w:lineRule="auto"/>
        <w:jc w:val="both"/>
        <w:rPr>
          <w:rFonts w:ascii="Arial" w:hAnsi="Arial"/>
          <w:noProof w:val="0"/>
        </w:rPr>
      </w:pPr>
      <w:r>
        <w:rPr>
          <w:rFonts w:ascii="Arial" w:hAnsi="Arial" w:hint="cs"/>
          <w:noProof w:val="0"/>
          <w:rtl/>
        </w:rPr>
        <w:t xml:space="preserve">ביהמ"ש קמא אף לא נימק את החלטתו למרות שהיה עליו לנמק ולו בקצרה מדוע נעתר לתנאי שביקש המשיב </w:t>
      </w:r>
      <w:r w:rsidR="0064607C">
        <w:rPr>
          <w:rFonts w:ascii="Arial" w:hAnsi="Arial" w:hint="cs"/>
          <w:noProof w:val="0"/>
          <w:rtl/>
        </w:rPr>
        <w:t xml:space="preserve">להוסיף לפסיקתה </w:t>
      </w:r>
      <w:r>
        <w:rPr>
          <w:rFonts w:ascii="Arial" w:hAnsi="Arial" w:hint="cs"/>
          <w:noProof w:val="0"/>
          <w:rtl/>
        </w:rPr>
        <w:t>למרות התנגדות המבקשת.</w:t>
      </w:r>
    </w:p>
    <w:p w:rsidR="00800E14" w:rsidRPr="00800E14" w:rsidRDefault="00800E14" w:rsidP="00800E14">
      <w:pPr>
        <w:pStyle w:val="ad"/>
        <w:rPr>
          <w:rFonts w:ascii="Arial" w:hAnsi="Arial"/>
          <w:noProof w:val="0"/>
          <w:rtl/>
        </w:rPr>
      </w:pPr>
    </w:p>
    <w:p w:rsidR="00FA04B8" w:rsidRDefault="00EB3A10" w:rsidP="00800E14">
      <w:pPr>
        <w:pStyle w:val="ad"/>
        <w:numPr>
          <w:ilvl w:val="0"/>
          <w:numId w:val="1"/>
        </w:numPr>
        <w:spacing w:line="360" w:lineRule="auto"/>
        <w:jc w:val="both"/>
        <w:rPr>
          <w:rFonts w:ascii="Arial" w:hAnsi="Arial"/>
          <w:noProof w:val="0"/>
        </w:rPr>
      </w:pPr>
      <w:r w:rsidRPr="00F0463B">
        <w:rPr>
          <w:rFonts w:ascii="Arial" w:hAnsi="Arial" w:hint="cs"/>
          <w:b/>
          <w:bCs/>
          <w:noProof w:val="0"/>
          <w:u w:val="single"/>
          <w:rtl/>
        </w:rPr>
        <w:t>סיכומו של דבר</w:t>
      </w:r>
      <w:r>
        <w:rPr>
          <w:rFonts w:ascii="Arial" w:hAnsi="Arial" w:hint="cs"/>
          <w:noProof w:val="0"/>
          <w:rtl/>
        </w:rPr>
        <w:t>: הערעור מתקבל וביהמ"ש קמא יחתום על הפסיקתה</w:t>
      </w:r>
      <w:r w:rsidR="00800E14">
        <w:rPr>
          <w:rFonts w:ascii="Arial" w:hAnsi="Arial" w:hint="cs"/>
          <w:noProof w:val="0"/>
          <w:rtl/>
        </w:rPr>
        <w:t xml:space="preserve"> בנוסח שהמבקשת הגישה</w:t>
      </w:r>
      <w:r>
        <w:rPr>
          <w:rFonts w:ascii="Arial" w:hAnsi="Arial" w:hint="cs"/>
          <w:noProof w:val="0"/>
          <w:rtl/>
        </w:rPr>
        <w:t>. ברם, על מנת לאפשר למשיב לפנות בהליך המתאים על מנת לב</w:t>
      </w:r>
      <w:r w:rsidR="00F0463B">
        <w:rPr>
          <w:rFonts w:ascii="Arial" w:hAnsi="Arial" w:hint="cs"/>
          <w:noProof w:val="0"/>
          <w:rtl/>
        </w:rPr>
        <w:t>רר</w:t>
      </w:r>
      <w:r w:rsidR="00FA04B8">
        <w:rPr>
          <w:rFonts w:ascii="Arial" w:hAnsi="Arial" w:hint="cs"/>
          <w:noProof w:val="0"/>
          <w:rtl/>
        </w:rPr>
        <w:t xml:space="preserve"> האם בכספת נמצאים תכשיטי אמו</w:t>
      </w:r>
      <w:r w:rsidR="00F0463B">
        <w:rPr>
          <w:rFonts w:ascii="Arial" w:hAnsi="Arial" w:hint="cs"/>
          <w:noProof w:val="0"/>
          <w:rtl/>
        </w:rPr>
        <w:t xml:space="preserve"> המנוחה</w:t>
      </w:r>
      <w:r w:rsidR="00FA04B8">
        <w:rPr>
          <w:rFonts w:ascii="Arial" w:hAnsi="Arial" w:hint="cs"/>
          <w:noProof w:val="0"/>
          <w:rtl/>
        </w:rPr>
        <w:t xml:space="preserve"> שעל פי ההסכם יש להעביר אליו</w:t>
      </w:r>
      <w:r>
        <w:rPr>
          <w:rFonts w:ascii="Arial" w:hAnsi="Arial" w:hint="cs"/>
          <w:noProof w:val="0"/>
          <w:rtl/>
        </w:rPr>
        <w:t xml:space="preserve">, לרבות </w:t>
      </w:r>
      <w:r w:rsidR="00FA04B8">
        <w:rPr>
          <w:rFonts w:ascii="Arial" w:hAnsi="Arial" w:hint="cs"/>
          <w:noProof w:val="0"/>
          <w:rtl/>
        </w:rPr>
        <w:t xml:space="preserve">הגשת </w:t>
      </w:r>
      <w:r>
        <w:rPr>
          <w:rFonts w:ascii="Arial" w:hAnsi="Arial" w:hint="cs"/>
          <w:noProof w:val="0"/>
          <w:rtl/>
        </w:rPr>
        <w:t xml:space="preserve">בקשה לסעד זמני, החתימה על הפסיקתה תעוכב למשך 30 יום, כולל ימי </w:t>
      </w:r>
      <w:r w:rsidR="00800E14">
        <w:rPr>
          <w:rFonts w:ascii="Arial" w:hAnsi="Arial" w:hint="cs"/>
          <w:noProof w:val="0"/>
          <w:rtl/>
        </w:rPr>
        <w:t>ה</w:t>
      </w:r>
      <w:r>
        <w:rPr>
          <w:rFonts w:ascii="Arial" w:hAnsi="Arial" w:hint="cs"/>
          <w:noProof w:val="0"/>
          <w:rtl/>
        </w:rPr>
        <w:t xml:space="preserve">פגרה. </w:t>
      </w:r>
      <w:r w:rsidR="00986D2C">
        <w:rPr>
          <w:rFonts w:ascii="Arial" w:hAnsi="Arial" w:hint="cs"/>
          <w:noProof w:val="0"/>
          <w:rtl/>
        </w:rPr>
        <w:t xml:space="preserve"> </w:t>
      </w:r>
    </w:p>
    <w:p w:rsidR="00800E14" w:rsidRPr="00800E14" w:rsidRDefault="00800E14" w:rsidP="00800E14">
      <w:pPr>
        <w:pStyle w:val="ad"/>
        <w:rPr>
          <w:rFonts w:ascii="Arial" w:hAnsi="Arial"/>
          <w:noProof w:val="0"/>
          <w:rtl/>
        </w:rPr>
      </w:pPr>
    </w:p>
    <w:p w:rsidR="00694556" w:rsidRPr="00AE4B05" w:rsidRDefault="00FA04B8" w:rsidP="00AE4B05">
      <w:pPr>
        <w:pStyle w:val="ad"/>
        <w:numPr>
          <w:ilvl w:val="0"/>
          <w:numId w:val="1"/>
        </w:numPr>
        <w:spacing w:line="360" w:lineRule="auto"/>
        <w:jc w:val="both"/>
        <w:rPr>
          <w:rFonts w:ascii="Arial" w:hAnsi="Arial"/>
          <w:noProof w:val="0"/>
          <w:rtl/>
        </w:rPr>
      </w:pPr>
      <w:r>
        <w:rPr>
          <w:rFonts w:ascii="Arial" w:hAnsi="Arial" w:hint="cs"/>
          <w:noProof w:val="0"/>
          <w:rtl/>
        </w:rPr>
        <w:t>משהבקשה התקבלה, המשיב ישלם למבקשת הוצאות משפט ושכ"ט עו"ד בסך של 10,000 ₪. הערובה על פירותיה, תושב למבקשת באמצעות ב"כ.</w:t>
      </w:r>
      <w:r w:rsidR="00986D2C">
        <w:rPr>
          <w:rFonts w:ascii="Arial" w:hAnsi="Arial" w:hint="cs"/>
          <w:noProof w:val="0"/>
          <w:rtl/>
        </w:rPr>
        <w:t xml:space="preserve">   </w:t>
      </w:r>
      <w:r w:rsidR="002C3BE8">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יולי 2023</w:t>
          </w:r>
        </w:sdtContent>
      </w:sdt>
      <w:r w:rsidR="00005C8B">
        <w:rPr>
          <w:rFonts w:ascii="Arial" w:hAnsi="Arial"/>
          <w:noProof w:val="0"/>
          <w:rtl/>
        </w:rPr>
        <w:t>, בהעדר הצדדים.</w:t>
      </w:r>
    </w:p>
    <w:p w:rsidR="00C43648" w:rsidRDefault="00FC394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06288180"/>
        </w:sdtPr>
        <w:sdtEndPr/>
        <w:sdtContent>
          <w:r w:rsidR="00AE4B05">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default" r:id="rId9"/>
      <w:footerReference w:type="default" r:id="rId10"/>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937" w:rsidRDefault="00EE6937">
      <w:r>
        <w:separator/>
      </w:r>
    </w:p>
  </w:endnote>
  <w:endnote w:type="continuationSeparator" w:id="0">
    <w:p w:rsidR="00EE6937" w:rsidRDefault="00EE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C394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C3940">
      <w:rPr>
        <w:rStyle w:val="ab"/>
        <w:rtl/>
      </w:rPr>
      <w:t>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937" w:rsidRDefault="00EE6937">
      <w:r>
        <w:separator/>
      </w:r>
    </w:p>
  </w:footnote>
  <w:footnote w:type="continuationSeparator" w:id="0">
    <w:p w:rsidR="00EE6937" w:rsidRDefault="00EE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FC3940" w:rsidP="00AE4B05">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רמ"ש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28695-06-23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AE4B05">
                <w:rPr>
                  <w:rFonts w:hint="cs"/>
                  <w:b/>
                  <w:bCs/>
                  <w:noProof w:val="0"/>
                  <w:sz w:val="26"/>
                  <w:szCs w:val="26"/>
                  <w:rtl/>
                </w:rPr>
                <w:t>פלונית</w:t>
              </w:r>
              <w:r w:rsidR="008D3BCC">
                <w:rPr>
                  <w:b/>
                  <w:bCs/>
                  <w:noProof w:val="0"/>
                  <w:sz w:val="26"/>
                  <w:szCs w:val="26"/>
                  <w:rtl/>
                </w:rPr>
                <w:t xml:space="preserve"> נ' </w:t>
              </w:r>
              <w:r w:rsidR="00AE4B05">
                <w:rPr>
                  <w:rFonts w:hint="cs"/>
                  <w:b/>
                  <w:bCs/>
                  <w:noProof w:val="0"/>
                  <w:sz w:val="26"/>
                  <w:szCs w:val="26"/>
                  <w:rtl/>
                </w:rPr>
                <w:t>אלמוני</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CD72E9"/>
    <w:multiLevelType w:val="hybridMultilevel"/>
    <w:tmpl w:val="9E001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EcQrefSYKom2iTsEuzzQOuCIqp8txM84TVw5hnRD1mtFLHzxye7icIUPwFNaA7U2KGbXYhWZbpvHVlEdRx7qMg==" w:salt="odvFeSe1DZsPDJ0EE7839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36994"/>
    <w:rsid w:val="00144D2A"/>
    <w:rsid w:val="0014653E"/>
    <w:rsid w:val="00180519"/>
    <w:rsid w:val="00191C82"/>
    <w:rsid w:val="001B48A4"/>
    <w:rsid w:val="001C3FD7"/>
    <w:rsid w:val="001C4003"/>
    <w:rsid w:val="001C5B01"/>
    <w:rsid w:val="001D3441"/>
    <w:rsid w:val="001D4DBF"/>
    <w:rsid w:val="001E75CA"/>
    <w:rsid w:val="001F5DB6"/>
    <w:rsid w:val="00216051"/>
    <w:rsid w:val="002265FF"/>
    <w:rsid w:val="00271B56"/>
    <w:rsid w:val="00291593"/>
    <w:rsid w:val="002C344E"/>
    <w:rsid w:val="002C3BE8"/>
    <w:rsid w:val="002E75E9"/>
    <w:rsid w:val="00307A6A"/>
    <w:rsid w:val="00307C40"/>
    <w:rsid w:val="00320433"/>
    <w:rsid w:val="003230C7"/>
    <w:rsid w:val="00327E50"/>
    <w:rsid w:val="0033597A"/>
    <w:rsid w:val="00343D89"/>
    <w:rsid w:val="00362612"/>
    <w:rsid w:val="0036743F"/>
    <w:rsid w:val="003715DD"/>
    <w:rsid w:val="003763AB"/>
    <w:rsid w:val="003823E0"/>
    <w:rsid w:val="003963BF"/>
    <w:rsid w:val="003A4521"/>
    <w:rsid w:val="003D1C8C"/>
    <w:rsid w:val="0040096C"/>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13175"/>
    <w:rsid w:val="00520898"/>
    <w:rsid w:val="00523621"/>
    <w:rsid w:val="00524986"/>
    <w:rsid w:val="005268F6"/>
    <w:rsid w:val="00534284"/>
    <w:rsid w:val="0054494A"/>
    <w:rsid w:val="00547DB7"/>
    <w:rsid w:val="00555E2B"/>
    <w:rsid w:val="005C3F21"/>
    <w:rsid w:val="005F4F09"/>
    <w:rsid w:val="0061431B"/>
    <w:rsid w:val="00617CEE"/>
    <w:rsid w:val="00622BAA"/>
    <w:rsid w:val="006306CF"/>
    <w:rsid w:val="00644E9A"/>
    <w:rsid w:val="0064607C"/>
    <w:rsid w:val="00671BD5"/>
    <w:rsid w:val="006805C1"/>
    <w:rsid w:val="00686C21"/>
    <w:rsid w:val="006931C1"/>
    <w:rsid w:val="00694556"/>
    <w:rsid w:val="006C30C5"/>
    <w:rsid w:val="006D3B31"/>
    <w:rsid w:val="006E0D96"/>
    <w:rsid w:val="006E1A53"/>
    <w:rsid w:val="006E4371"/>
    <w:rsid w:val="006F56E6"/>
    <w:rsid w:val="00704EDA"/>
    <w:rsid w:val="00721122"/>
    <w:rsid w:val="00744B1C"/>
    <w:rsid w:val="00753019"/>
    <w:rsid w:val="00754801"/>
    <w:rsid w:val="00795365"/>
    <w:rsid w:val="007A351D"/>
    <w:rsid w:val="007B7765"/>
    <w:rsid w:val="007C5BDD"/>
    <w:rsid w:val="007D45E3"/>
    <w:rsid w:val="007E6115"/>
    <w:rsid w:val="007F4609"/>
    <w:rsid w:val="00800E14"/>
    <w:rsid w:val="008176A1"/>
    <w:rsid w:val="00820005"/>
    <w:rsid w:val="00844318"/>
    <w:rsid w:val="00863C1D"/>
    <w:rsid w:val="00863F5D"/>
    <w:rsid w:val="00870890"/>
    <w:rsid w:val="00873602"/>
    <w:rsid w:val="00875D12"/>
    <w:rsid w:val="008800CD"/>
    <w:rsid w:val="0088479D"/>
    <w:rsid w:val="00896889"/>
    <w:rsid w:val="008C5714"/>
    <w:rsid w:val="008D10B2"/>
    <w:rsid w:val="008D3BCC"/>
    <w:rsid w:val="00903896"/>
    <w:rsid w:val="00906F3D"/>
    <w:rsid w:val="0094424E"/>
    <w:rsid w:val="00955642"/>
    <w:rsid w:val="009622DF"/>
    <w:rsid w:val="00967DFF"/>
    <w:rsid w:val="00986D2C"/>
    <w:rsid w:val="00994341"/>
    <w:rsid w:val="009B4939"/>
    <w:rsid w:val="009D1A48"/>
    <w:rsid w:val="009E1CE7"/>
    <w:rsid w:val="009E4EA5"/>
    <w:rsid w:val="009F164B"/>
    <w:rsid w:val="009F323C"/>
    <w:rsid w:val="00A30CEB"/>
    <w:rsid w:val="00A3392B"/>
    <w:rsid w:val="00A94B64"/>
    <w:rsid w:val="00AA3229"/>
    <w:rsid w:val="00AA7596"/>
    <w:rsid w:val="00AB5E52"/>
    <w:rsid w:val="00AC3B02"/>
    <w:rsid w:val="00AC3B7B"/>
    <w:rsid w:val="00AC5209"/>
    <w:rsid w:val="00AD00A6"/>
    <w:rsid w:val="00AE4B05"/>
    <w:rsid w:val="00AE729E"/>
    <w:rsid w:val="00AE7752"/>
    <w:rsid w:val="00AF7FDA"/>
    <w:rsid w:val="00B232A8"/>
    <w:rsid w:val="00B4691A"/>
    <w:rsid w:val="00B5356E"/>
    <w:rsid w:val="00B809AD"/>
    <w:rsid w:val="00B80CBD"/>
    <w:rsid w:val="00B86096"/>
    <w:rsid w:val="00B95A71"/>
    <w:rsid w:val="00B964D9"/>
    <w:rsid w:val="00BA0A7C"/>
    <w:rsid w:val="00BA517C"/>
    <w:rsid w:val="00BB3D05"/>
    <w:rsid w:val="00BB73BE"/>
    <w:rsid w:val="00BC2D89"/>
    <w:rsid w:val="00BD6531"/>
    <w:rsid w:val="00BE05B2"/>
    <w:rsid w:val="00BF1908"/>
    <w:rsid w:val="00BF7F3B"/>
    <w:rsid w:val="00C22D93"/>
    <w:rsid w:val="00C31120"/>
    <w:rsid w:val="00C34482"/>
    <w:rsid w:val="00C43648"/>
    <w:rsid w:val="00C50A9F"/>
    <w:rsid w:val="00C53EB8"/>
    <w:rsid w:val="00C642FA"/>
    <w:rsid w:val="00C65565"/>
    <w:rsid w:val="00C679AF"/>
    <w:rsid w:val="00CC7622"/>
    <w:rsid w:val="00CD608F"/>
    <w:rsid w:val="00CF6883"/>
    <w:rsid w:val="00D27982"/>
    <w:rsid w:val="00D33B86"/>
    <w:rsid w:val="00D53924"/>
    <w:rsid w:val="00D55D0C"/>
    <w:rsid w:val="00D627CF"/>
    <w:rsid w:val="00D74378"/>
    <w:rsid w:val="00D96D8C"/>
    <w:rsid w:val="00DA6649"/>
    <w:rsid w:val="00DC1259"/>
    <w:rsid w:val="00DC1BD2"/>
    <w:rsid w:val="00DC2571"/>
    <w:rsid w:val="00DC487C"/>
    <w:rsid w:val="00DE6BF6"/>
    <w:rsid w:val="00E1068A"/>
    <w:rsid w:val="00E25884"/>
    <w:rsid w:val="00E25B55"/>
    <w:rsid w:val="00E31C2B"/>
    <w:rsid w:val="00E37181"/>
    <w:rsid w:val="00E5426A"/>
    <w:rsid w:val="00E54642"/>
    <w:rsid w:val="00E80CBE"/>
    <w:rsid w:val="00E962E3"/>
    <w:rsid w:val="00EB3A10"/>
    <w:rsid w:val="00EB6C79"/>
    <w:rsid w:val="00EC37E9"/>
    <w:rsid w:val="00EE6937"/>
    <w:rsid w:val="00F0463B"/>
    <w:rsid w:val="00F06995"/>
    <w:rsid w:val="00F13623"/>
    <w:rsid w:val="00F44D1D"/>
    <w:rsid w:val="00F84B6D"/>
    <w:rsid w:val="00FA04B8"/>
    <w:rsid w:val="00FA4EAF"/>
    <w:rsid w:val="00FA5FDA"/>
    <w:rsid w:val="00FB6AB3"/>
    <w:rsid w:val="00FC3940"/>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C3F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B239D" w:rsidP="00FB239D">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D718D"/>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87A62"/>
    <w:rsid w:val="00AA7CE3"/>
    <w:rsid w:val="00B91FA3"/>
    <w:rsid w:val="00C96C06"/>
    <w:rsid w:val="00E31BF6"/>
    <w:rsid w:val="00E81DB1"/>
    <w:rsid w:val="00F04DC1"/>
    <w:rsid w:val="00F4674E"/>
    <w:rsid w:val="00F678CA"/>
    <w:rsid w:val="00FB23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B239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FB239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1961</Characters>
  <Application>Microsoft Office Word</Application>
  <DocSecurity>12</DocSecurity>
  <Lines>16</Lines>
  <Paragraphs>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2023-08-30T10:59:00Z</dcterms:created>
  <dcterms:modified xsi:type="dcterms:W3CDTF">2023-08-30T10:59:00Z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